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24" w:rsidRPr="00C51124" w:rsidRDefault="00EC16A4" w:rsidP="00C51124">
      <w:pPr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NAV közlemény a</w:t>
      </w:r>
      <w:r w:rsidR="00C51124" w:rsidRPr="00C51124">
        <w:rPr>
          <w:b/>
          <w:bCs/>
          <w:sz w:val="24"/>
          <w:szCs w:val="24"/>
        </w:rPr>
        <w:t>z 1%-os befizetési kötelezettség, mint a sportcélú adókedve</w:t>
      </w:r>
      <w:r>
        <w:rPr>
          <w:b/>
          <w:bCs/>
          <w:sz w:val="24"/>
          <w:szCs w:val="24"/>
        </w:rPr>
        <w:t>zmény igénybevételének feltételéről</w:t>
      </w:r>
    </w:p>
    <w:p w:rsidR="00C51124" w:rsidRDefault="00C51124" w:rsidP="00C51124">
      <w:pPr>
        <w:spacing w:after="0" w:line="240" w:lineRule="auto"/>
        <w:jc w:val="both"/>
        <w:rPr>
          <w:sz w:val="24"/>
          <w:szCs w:val="24"/>
        </w:rPr>
      </w:pPr>
    </w:p>
    <w:p w:rsidR="00C51124" w:rsidRDefault="00C51124" w:rsidP="00C51124">
      <w:pPr>
        <w:spacing w:after="0" w:line="240" w:lineRule="auto"/>
        <w:jc w:val="both"/>
        <w:rPr>
          <w:sz w:val="24"/>
          <w:szCs w:val="24"/>
        </w:rPr>
      </w:pPr>
      <w:r w:rsidRPr="00C51124">
        <w:rPr>
          <w:sz w:val="24"/>
          <w:szCs w:val="24"/>
        </w:rPr>
        <w:t xml:space="preserve">A látvány-csapatsport támogatását biztosító támogatási igazolás kiállításáról, felhasználásáról, a támogatás elszámolásának és ellenőrzésének, valamint visszafizetésének szabályairól szóló 107/2011. (VI. 30.) Kormányrendelet 2. § (6a) bekezdése értelmében a támogatás igénybevételének feltétele, hogy a támogató a képzéssel összefüggő feladatok, a személyi jellegű ráfordítások, a tárgyi eszköz beruházás, felújítás, az utánpótlás-nevelési feladatok ellátásának, illetve a versenyeztetéssel összefüggő feladatok támogatása jogcímén nyújtott juttatás támogatási időszakonként számított teljes összegéből 1%-ot a látvány-csapatsport támogatás ellenőrzésével kapcsolatos feladatok ellátására befizessen. </w:t>
      </w:r>
    </w:p>
    <w:p w:rsidR="00C51124" w:rsidRPr="00C51124" w:rsidRDefault="00C51124" w:rsidP="00C51124">
      <w:pPr>
        <w:spacing w:after="0" w:line="240" w:lineRule="auto"/>
        <w:jc w:val="both"/>
        <w:rPr>
          <w:sz w:val="24"/>
          <w:szCs w:val="24"/>
        </w:rPr>
      </w:pPr>
    </w:p>
    <w:p w:rsidR="00C51124" w:rsidRDefault="00C51124" w:rsidP="00C51124">
      <w:pPr>
        <w:spacing w:after="0" w:line="240" w:lineRule="auto"/>
        <w:jc w:val="both"/>
        <w:rPr>
          <w:sz w:val="24"/>
          <w:szCs w:val="24"/>
        </w:rPr>
      </w:pPr>
      <w:r w:rsidRPr="00C51124">
        <w:rPr>
          <w:sz w:val="24"/>
          <w:szCs w:val="24"/>
        </w:rPr>
        <w:t>A Kormányrendelet 2. §</w:t>
      </w:r>
      <w:proofErr w:type="spellStart"/>
      <w:r w:rsidRPr="00C51124">
        <w:rPr>
          <w:sz w:val="24"/>
          <w:szCs w:val="24"/>
        </w:rPr>
        <w:t>-a</w:t>
      </w:r>
      <w:proofErr w:type="spellEnd"/>
      <w:r w:rsidRPr="00C51124">
        <w:rPr>
          <w:sz w:val="24"/>
          <w:szCs w:val="24"/>
        </w:rPr>
        <w:t xml:space="preserve"> 2014. január 1-jei hatállyal </w:t>
      </w:r>
      <w:r w:rsidRPr="00C51124">
        <w:rPr>
          <w:i/>
          <w:iCs/>
          <w:sz w:val="24"/>
          <w:szCs w:val="24"/>
        </w:rPr>
        <w:t>új (6b) bekezdéssel</w:t>
      </w:r>
      <w:r w:rsidRPr="00C51124">
        <w:rPr>
          <w:sz w:val="24"/>
          <w:szCs w:val="24"/>
        </w:rPr>
        <w:t xml:space="preserve"> egészült ki, amely értelmében az 1% 1/3 részét a sportpolitikáért felelős miniszter által vezetett minisztérium által közzétett fizetési számlára, míg a további 2/3 részt a szakszövetség által közzétett fizetési számlára kell megfizetni </w:t>
      </w:r>
      <w:r w:rsidRPr="00C51124">
        <w:rPr>
          <w:i/>
          <w:iCs/>
          <w:sz w:val="24"/>
          <w:szCs w:val="24"/>
        </w:rPr>
        <w:t>a támogatás megfizetésével egyidejűleg</w:t>
      </w:r>
      <w:r w:rsidRPr="00C51124">
        <w:rPr>
          <w:sz w:val="24"/>
          <w:szCs w:val="24"/>
        </w:rPr>
        <w:t xml:space="preserve">. </w:t>
      </w:r>
    </w:p>
    <w:p w:rsidR="00C51124" w:rsidRPr="00C51124" w:rsidRDefault="00C51124" w:rsidP="00C51124">
      <w:pPr>
        <w:spacing w:after="0" w:line="240" w:lineRule="auto"/>
        <w:jc w:val="both"/>
        <w:rPr>
          <w:sz w:val="24"/>
          <w:szCs w:val="24"/>
        </w:rPr>
      </w:pPr>
    </w:p>
    <w:p w:rsidR="00C51124" w:rsidRDefault="00C51124" w:rsidP="00C51124">
      <w:pPr>
        <w:spacing w:after="0" w:line="240" w:lineRule="auto"/>
        <w:jc w:val="both"/>
        <w:rPr>
          <w:sz w:val="24"/>
          <w:szCs w:val="24"/>
        </w:rPr>
      </w:pPr>
      <w:r w:rsidRPr="00C51124">
        <w:rPr>
          <w:sz w:val="24"/>
          <w:szCs w:val="24"/>
        </w:rPr>
        <w:t>Amennyiben az adózó nem a hatályos szabályoknak megfelelően teljesíti az 1%-os befizetési kötelezettségét, úgy az alábbi jogkövetkezményekkel jár.</w:t>
      </w:r>
    </w:p>
    <w:p w:rsidR="00C51124" w:rsidRPr="00C51124" w:rsidRDefault="00C51124" w:rsidP="00C51124">
      <w:pPr>
        <w:spacing w:after="0" w:line="240" w:lineRule="auto"/>
        <w:jc w:val="both"/>
        <w:rPr>
          <w:sz w:val="24"/>
          <w:szCs w:val="24"/>
        </w:rPr>
      </w:pPr>
    </w:p>
    <w:p w:rsidR="00C51124" w:rsidRDefault="00C51124" w:rsidP="00C5112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51124">
        <w:rPr>
          <w:sz w:val="24"/>
          <w:szCs w:val="24"/>
        </w:rPr>
        <w:t xml:space="preserve">Abban az esetben, ha az adózó egyáltalán nem teljesíti az 1%-os befizetési kötelezettségét, akkor elveszíti az adókedvezmény igénybevételére vonatkozó jogosultságát és addig nem veheti igénybe az adókedvezményt, ameddig </w:t>
      </w:r>
      <w:proofErr w:type="gramStart"/>
      <w:r w:rsidRPr="00C51124">
        <w:rPr>
          <w:sz w:val="24"/>
          <w:szCs w:val="24"/>
        </w:rPr>
        <w:t>ezen</w:t>
      </w:r>
      <w:proofErr w:type="gramEnd"/>
      <w:r w:rsidRPr="00C51124">
        <w:rPr>
          <w:sz w:val="24"/>
          <w:szCs w:val="24"/>
        </w:rPr>
        <w:t xml:space="preserve"> mulasztását igazoltan nem pótolja. Ez azt is jelenti, hogy az adózó az alaptámogatás 99%-a vonatkozásában sem érvényesítheti a kedvezményt, ameddig az 1%-ot nem fizeti meg.</w:t>
      </w:r>
    </w:p>
    <w:p w:rsidR="00C51124" w:rsidRDefault="00C51124" w:rsidP="00C5112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51124">
        <w:rPr>
          <w:sz w:val="24"/>
          <w:szCs w:val="24"/>
        </w:rPr>
        <w:t>Abban az esetben, ha az adózó késedelmesen fizeti meg az 1%-ot, szintén csak attól az adóévtől kezdődően veheti igénybe az adókedvezményt, amelyben a befizetés megtörtént, tehát a társasági adóról és az osztalék adóról szóló 1996. évi LXXXI. törvény 22/C. § (2) bekezdése szerint rendelkezésére álló hét adóév (eltérő üzleti éves adózóknál bizonyos esetben hat adóév) helyett csak a késedelmes teljesítést követően fennmaradó adóévekben érvényesítheti az adókedvezményt.</w:t>
      </w:r>
    </w:p>
    <w:p w:rsidR="00C51124" w:rsidRPr="00C51124" w:rsidRDefault="00C51124" w:rsidP="00C5112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51124">
        <w:rPr>
          <w:sz w:val="24"/>
          <w:szCs w:val="24"/>
        </w:rPr>
        <w:t xml:space="preserve">Ha az adózó nem a hatályos szabályok szerinti megosztásban fizeti meg az 1%-ot, de dokumentumokkal (átutalási bizonylat, számlakivonat) igazolható, hogy az 1% megfizetése egyébként megtörtént, akkor nem veszíti el az adókedvezmény igénybevételének lehetőségét. </w:t>
      </w:r>
    </w:p>
    <w:p w:rsidR="00C51124" w:rsidRPr="00C51124" w:rsidRDefault="00C51124" w:rsidP="00C51124">
      <w:pPr>
        <w:spacing w:after="0" w:line="240" w:lineRule="auto"/>
        <w:jc w:val="both"/>
        <w:rPr>
          <w:sz w:val="24"/>
          <w:szCs w:val="24"/>
        </w:rPr>
      </w:pPr>
    </w:p>
    <w:p w:rsidR="00C51124" w:rsidRPr="00C51124" w:rsidRDefault="00C51124" w:rsidP="00C51124">
      <w:pPr>
        <w:spacing w:after="0" w:line="240" w:lineRule="auto"/>
        <w:jc w:val="both"/>
        <w:rPr>
          <w:sz w:val="24"/>
          <w:szCs w:val="24"/>
        </w:rPr>
      </w:pPr>
      <w:r w:rsidRPr="00C51124">
        <w:rPr>
          <w:sz w:val="24"/>
          <w:szCs w:val="24"/>
        </w:rPr>
        <w:t>[NGM/11251/2014., NAV Ügyfélkapcsolati és Tájékoztatási Főosztály 3156652769/2014.]</w:t>
      </w:r>
    </w:p>
    <w:p w:rsidR="008A241F" w:rsidRPr="00C51124" w:rsidRDefault="008A241F" w:rsidP="00C51124">
      <w:pPr>
        <w:spacing w:after="0" w:line="240" w:lineRule="auto"/>
        <w:jc w:val="both"/>
        <w:rPr>
          <w:sz w:val="24"/>
          <w:szCs w:val="24"/>
        </w:rPr>
      </w:pPr>
    </w:p>
    <w:sectPr w:rsidR="008A241F" w:rsidRPr="00C5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4F76"/>
    <w:multiLevelType w:val="hybridMultilevel"/>
    <w:tmpl w:val="52642A9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24"/>
    <w:rsid w:val="00310799"/>
    <w:rsid w:val="008A241F"/>
    <w:rsid w:val="00C51124"/>
    <w:rsid w:val="00E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1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2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562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284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0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5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48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6306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Bardóczy Gábor</dc:creator>
  <cp:lastModifiedBy>adatrögzítő</cp:lastModifiedBy>
  <cp:revision>2</cp:revision>
  <dcterms:created xsi:type="dcterms:W3CDTF">2017-11-22T10:06:00Z</dcterms:created>
  <dcterms:modified xsi:type="dcterms:W3CDTF">2017-11-22T10:06:00Z</dcterms:modified>
</cp:coreProperties>
</file>